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2E1" w:rsidRPr="009852E1" w:rsidRDefault="009852E1" w:rsidP="009852E1">
      <w:r>
        <w:rPr>
          <w:noProof/>
          <w:sz w:val="20"/>
          <w:szCs w:val="20"/>
        </w:rPr>
        <w:drawing>
          <wp:inline distT="0" distB="0" distL="0" distR="0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CE0" w:rsidRDefault="00187CE0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p w:rsidR="00BE737E" w:rsidRDefault="00BE737E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A.S.20</w:t>
      </w:r>
      <w:r w:rsidR="004B7E58">
        <w:rPr>
          <w:rFonts w:eastAsia="Times New Roman" w:cs="Times New Roman"/>
          <w:sz w:val="28"/>
          <w:szCs w:val="28"/>
        </w:rPr>
        <w:t>25/2026</w:t>
      </w:r>
      <w:bookmarkStart w:id="0" w:name="_GoBack"/>
      <w:bookmarkEnd w:id="0"/>
    </w:p>
    <w:p w:rsidR="00BE737E" w:rsidRPr="009852E1" w:rsidRDefault="00BE737E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477CE6" w:rsidP="0054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 xml:space="preserve">Storia 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550523" w:rsidP="009A4C41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IV </w:t>
            </w:r>
            <w:r w:rsidR="00607B5C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delle scienze Umane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54485D" w:rsidP="001D281F">
            <w:pPr>
              <w:rPr>
                <w:rFonts w:cs="Tahoma"/>
                <w:b/>
                <w:sz w:val="20"/>
              </w:rPr>
            </w:pPr>
            <w:r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 .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FD6062" w:rsidP="00607B5C">
            <w:pPr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 xml:space="preserve">Dentro l’Arte, vol 2, </w:t>
            </w:r>
            <w:r w:rsidR="00607B5C">
              <w:rPr>
                <w:rFonts w:cs="Tahoma"/>
                <w:sz w:val="20"/>
              </w:rPr>
              <w:t>dal Rinascimento al Rococò</w:t>
            </w:r>
            <w:r w:rsidR="00607B5C" w:rsidRPr="00607B5C">
              <w:rPr>
                <w:rFonts w:cs="Tahoma"/>
                <w:sz w:val="20"/>
              </w:rPr>
              <w:t>. Autore Irene Baldriga. Editore Electa scuola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6"/>
        <w:gridCol w:w="1640"/>
        <w:gridCol w:w="333"/>
        <w:gridCol w:w="2411"/>
        <w:gridCol w:w="5094"/>
      </w:tblGrid>
      <w:tr w:rsidR="00CD4420" w:rsidRPr="009852E1" w:rsidTr="00CD4420">
        <w:trPr>
          <w:trHeight w:val="491"/>
          <w:jc w:val="center"/>
        </w:trPr>
        <w:tc>
          <w:tcPr>
            <w:tcW w:w="2016" w:type="dxa"/>
            <w:gridSpan w:val="2"/>
          </w:tcPr>
          <w:p w:rsidR="00CD4420" w:rsidRPr="009852E1" w:rsidRDefault="00CD4420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>
              <w:rPr>
                <w:rFonts w:cs="Tahoma"/>
                <w:b/>
                <w:i/>
                <w:sz w:val="18"/>
              </w:rPr>
              <w:t>Periodo</w:t>
            </w:r>
          </w:p>
        </w:tc>
        <w:tc>
          <w:tcPr>
            <w:tcW w:w="2744" w:type="dxa"/>
            <w:gridSpan w:val="2"/>
          </w:tcPr>
          <w:p w:rsidR="00CD4420" w:rsidRPr="009852E1" w:rsidRDefault="00CD4420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n°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094" w:type="dxa"/>
          </w:tcPr>
          <w:p w:rsidR="00CD4420" w:rsidRPr="009852E1" w:rsidRDefault="00CD4420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Default="00CD4420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Settembre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Pr="009852E1" w:rsidRDefault="00CD4420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Periodo Paleocristiano</w:t>
            </w:r>
          </w:p>
        </w:tc>
        <w:tc>
          <w:tcPr>
            <w:tcW w:w="5094" w:type="dxa"/>
          </w:tcPr>
          <w:p w:rsidR="00CD4420" w:rsidRPr="009852E1" w:rsidRDefault="00CD4420" w:rsidP="0099289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Le catacombe, la nascita della basilica cristiana</w:t>
            </w: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Default="00CD4420" w:rsidP="00CD442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Ottobre /Novembtre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Default="00CD4420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Periodo Romanico</w:t>
            </w:r>
          </w:p>
        </w:tc>
        <w:tc>
          <w:tcPr>
            <w:tcW w:w="5094" w:type="dxa"/>
          </w:tcPr>
          <w:p w:rsidR="00CD4420" w:rsidRDefault="00CD4420" w:rsidP="0099289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La nascita della basilica romanica, la basilica di Sant’Ambrogio, il duomo di Modena.</w:t>
            </w: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Default="00CD4420" w:rsidP="00CD442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Dicembre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Default="00CD4420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Periodo Gotico</w:t>
            </w:r>
          </w:p>
        </w:tc>
        <w:tc>
          <w:tcPr>
            <w:tcW w:w="5094" w:type="dxa"/>
          </w:tcPr>
          <w:p w:rsidR="00CD4420" w:rsidRDefault="00CD4420" w:rsidP="0099289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La nascita della cattedrale gotica, la basilica di Assisi.</w:t>
            </w: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BF7750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Pr="00113745" w:rsidRDefault="00CD4420" w:rsidP="00CD442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Gennaio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Pr="009852E1" w:rsidRDefault="00CD4420" w:rsidP="00BF7750">
            <w:pPr>
              <w:rPr>
                <w:rFonts w:cs="Tahoma"/>
                <w:b/>
                <w:sz w:val="20"/>
                <w:szCs w:val="20"/>
              </w:rPr>
            </w:pPr>
            <w:r w:rsidRPr="00113745">
              <w:rPr>
                <w:rFonts w:cs="Tahoma"/>
                <w:b/>
                <w:sz w:val="20"/>
                <w:szCs w:val="20"/>
              </w:rPr>
              <w:t>Rinascimento</w:t>
            </w:r>
          </w:p>
        </w:tc>
        <w:tc>
          <w:tcPr>
            <w:tcW w:w="5094" w:type="dxa"/>
          </w:tcPr>
          <w:p w:rsidR="00CD4420" w:rsidRPr="009852E1" w:rsidRDefault="00CD4420" w:rsidP="00BF7750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Il Rinascimento: </w:t>
            </w:r>
            <w:r w:rsidRPr="00113745">
              <w:rPr>
                <w:rFonts w:cs="Tahoma"/>
                <w:sz w:val="20"/>
                <w:szCs w:val="20"/>
              </w:rPr>
              <w:t>caratteri generali.</w:t>
            </w: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BF7750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Default="00CD4420" w:rsidP="00BF7750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Febbraio/Marzo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Pr="009852E1" w:rsidRDefault="00CD4420" w:rsidP="00BF7750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Il primo </w:t>
            </w:r>
            <w:r w:rsidRPr="00113745">
              <w:rPr>
                <w:rFonts w:cs="Tahoma"/>
                <w:b/>
                <w:sz w:val="20"/>
                <w:szCs w:val="20"/>
              </w:rPr>
              <w:t>Rinascimento</w:t>
            </w:r>
          </w:p>
        </w:tc>
        <w:tc>
          <w:tcPr>
            <w:tcW w:w="5094" w:type="dxa"/>
          </w:tcPr>
          <w:p w:rsidR="00CD4420" w:rsidRPr="00113745" w:rsidRDefault="00CD4420" w:rsidP="00BF7750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Il primo rinascimento, Il concorso della decorazione della seconda porta del battistero di Firenze tra Brunelleschi e Ghiberti.</w:t>
            </w:r>
          </w:p>
          <w:p w:rsidR="00CD4420" w:rsidRPr="00113745" w:rsidRDefault="00CD4420" w:rsidP="00BF7750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Brunelleschi, la biografia: L’Ospedale degli Innocenti, La Sagrestia Vecchia, La Cupola di Santa Maria del Fiore.</w:t>
            </w:r>
          </w:p>
          <w:p w:rsidR="00CD4420" w:rsidRPr="00113745" w:rsidRDefault="00CD4420" w:rsidP="00BF7750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lastRenderedPageBreak/>
              <w:t>Donatello, la biografia: Il San Giorgio che uccide il drago, Il banchetto di Erode, David/Mercurio.</w:t>
            </w:r>
          </w:p>
          <w:p w:rsidR="00CD4420" w:rsidRPr="00113745" w:rsidRDefault="00CD4420" w:rsidP="00BF7750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Masaccio, la biografia: Sant’Anna Metterza, ,  Il polittico di Pisa. La Trinità,  La Cappella Brancacci</w:t>
            </w:r>
            <w:r>
              <w:rPr>
                <w:rFonts w:cs="Tahoma"/>
                <w:sz w:val="20"/>
                <w:szCs w:val="20"/>
              </w:rPr>
              <w:t>: Il miracolo di San Pietro, Adamo ed Eva, Peccato originale.</w:t>
            </w:r>
          </w:p>
          <w:p w:rsidR="00CD4420" w:rsidRPr="00113745" w:rsidRDefault="00CD4420" w:rsidP="00BF7750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Alberti, la biografia: Il tempio Malatestiano, Palazzo Rucellai, Santa Maria Novella.</w:t>
            </w:r>
          </w:p>
          <w:p w:rsidR="00CD4420" w:rsidRPr="009852E1" w:rsidRDefault="00CD4420" w:rsidP="00BF7750">
            <w:pPr>
              <w:rPr>
                <w:rFonts w:cs="Tahoma"/>
                <w:sz w:val="20"/>
                <w:szCs w:val="20"/>
              </w:rPr>
            </w:pP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BF7750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Pr="00113745" w:rsidRDefault="00CD4420" w:rsidP="00BF775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Pr="009852E1" w:rsidRDefault="00CD4420" w:rsidP="00BF7750">
            <w:pPr>
              <w:rPr>
                <w:rFonts w:cs="Tahoma"/>
                <w:b/>
                <w:sz w:val="20"/>
                <w:szCs w:val="20"/>
              </w:rPr>
            </w:pPr>
            <w:r w:rsidRPr="00113745">
              <w:rPr>
                <w:rFonts w:cs="Tahoma"/>
                <w:b/>
                <w:sz w:val="20"/>
                <w:szCs w:val="20"/>
              </w:rPr>
              <w:t xml:space="preserve">Il </w:t>
            </w:r>
            <w:r>
              <w:rPr>
                <w:rFonts w:cs="Tahoma"/>
                <w:b/>
                <w:sz w:val="20"/>
                <w:szCs w:val="20"/>
              </w:rPr>
              <w:t>secondo</w:t>
            </w:r>
            <w:r w:rsidRPr="00113745">
              <w:rPr>
                <w:rFonts w:cs="Tahoma"/>
                <w:b/>
                <w:sz w:val="20"/>
                <w:szCs w:val="20"/>
              </w:rPr>
              <w:t xml:space="preserve"> Rinascimento</w:t>
            </w:r>
          </w:p>
        </w:tc>
        <w:tc>
          <w:tcPr>
            <w:tcW w:w="5094" w:type="dxa"/>
          </w:tcPr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S. Botticelli, la biografia: La primavera, La nascita di Venere.</w:t>
            </w:r>
          </w:p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L. Da Vinci, la biografia: L’Annunciazione, La Vergine delle Rocce, Monna Lisa, Il Cenacolo.</w:t>
            </w:r>
          </w:p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Michelangelo: la biografia,  La Pietà Vaticana, Il David, Il tondo Doni, Gli affreschi della cappella Sistina, Il Giudizio Universale. La sistemazione di piazza del Campidoglio, la cupola di San Pietro.</w:t>
            </w:r>
          </w:p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Raffaello: la biografia. Lo sposalizio della Vergine, Le stanze vaticane con i vari affreschi.</w:t>
            </w:r>
          </w:p>
          <w:p w:rsidR="00CD4420" w:rsidRPr="009852E1" w:rsidRDefault="00CD4420" w:rsidP="00BF7750">
            <w:pPr>
              <w:rPr>
                <w:rFonts w:cs="Tahoma"/>
                <w:sz w:val="20"/>
                <w:szCs w:val="20"/>
              </w:rPr>
            </w:pPr>
          </w:p>
        </w:tc>
      </w:tr>
      <w:tr w:rsidR="00CD4420" w:rsidRPr="009852E1" w:rsidTr="00CD4420">
        <w:trPr>
          <w:trHeight w:val="74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CD4420" w:rsidRPr="009852E1" w:rsidRDefault="00CD4420" w:rsidP="00BF7750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right w:val="dashSmallGap" w:sz="4" w:space="0" w:color="auto"/>
            </w:tcBorders>
          </w:tcPr>
          <w:p w:rsidR="00CD4420" w:rsidRDefault="00CD4420" w:rsidP="00BF775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2411" w:type="dxa"/>
            <w:tcBorders>
              <w:left w:val="dashSmallGap" w:sz="4" w:space="0" w:color="auto"/>
            </w:tcBorders>
          </w:tcPr>
          <w:p w:rsidR="00CD4420" w:rsidRPr="00113745" w:rsidRDefault="00CD4420" w:rsidP="00BF7750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Barocco</w:t>
            </w:r>
          </w:p>
        </w:tc>
        <w:tc>
          <w:tcPr>
            <w:tcW w:w="5094" w:type="dxa"/>
          </w:tcPr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Le linee generali</w:t>
            </w:r>
          </w:p>
          <w:p w:rsidR="00CD4420" w:rsidRPr="00CD4420" w:rsidRDefault="00CD4420" w:rsidP="00CD4420">
            <w:pPr>
              <w:rPr>
                <w:rFonts w:cs="Tahoma"/>
                <w:sz w:val="20"/>
                <w:szCs w:val="20"/>
              </w:rPr>
            </w:pPr>
            <w:r w:rsidRPr="00CD4420">
              <w:rPr>
                <w:rFonts w:cs="Tahoma"/>
                <w:sz w:val="20"/>
                <w:szCs w:val="20"/>
              </w:rPr>
              <w:t>Gian Lorenzo Bernini: la biografia, I quattro gruppi scultorei, il baldacchino bronzeo, la sistemazione di piazza San Pietro, L’Estasi di Santa Teresa.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D873D6" w:rsidRDefault="00D873D6" w:rsidP="009852E1">
      <w:pPr>
        <w:rPr>
          <w:rFonts w:cs="Tahoma"/>
          <w:sz w:val="20"/>
        </w:rPr>
      </w:pPr>
    </w:p>
    <w:p w:rsidR="00187CE0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CD4420">
        <w:rPr>
          <w:rFonts w:cs="Tahoma"/>
          <w:sz w:val="20"/>
        </w:rPr>
        <w:t xml:space="preserve">                     </w:t>
      </w:r>
      <w:r w:rsidR="00A607BE">
        <w:rPr>
          <w:rFonts w:cs="Tahoma"/>
          <w:sz w:val="20"/>
        </w:rPr>
        <w:t xml:space="preserve">                                                                                                         </w:t>
      </w:r>
      <w:r>
        <w:rPr>
          <w:rFonts w:cs="Tahoma"/>
          <w:sz w:val="20"/>
        </w:rPr>
        <w:t>IL DOCENTE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                                                                                                                                               Prof. Antonio Zoccoli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113745"/>
    <w:rsid w:val="0013762C"/>
    <w:rsid w:val="00187CE0"/>
    <w:rsid w:val="001F5FCA"/>
    <w:rsid w:val="00294892"/>
    <w:rsid w:val="003663A3"/>
    <w:rsid w:val="00392FA1"/>
    <w:rsid w:val="00477CE6"/>
    <w:rsid w:val="004B7E58"/>
    <w:rsid w:val="004F197E"/>
    <w:rsid w:val="00520BEE"/>
    <w:rsid w:val="0054485D"/>
    <w:rsid w:val="00550523"/>
    <w:rsid w:val="00607B5C"/>
    <w:rsid w:val="00692D88"/>
    <w:rsid w:val="006F62BE"/>
    <w:rsid w:val="00895F8D"/>
    <w:rsid w:val="0092222E"/>
    <w:rsid w:val="009607C1"/>
    <w:rsid w:val="009852DB"/>
    <w:rsid w:val="009852E1"/>
    <w:rsid w:val="00992898"/>
    <w:rsid w:val="009A4C41"/>
    <w:rsid w:val="00A37E3A"/>
    <w:rsid w:val="00A607BE"/>
    <w:rsid w:val="00AB2681"/>
    <w:rsid w:val="00B143E6"/>
    <w:rsid w:val="00B800DA"/>
    <w:rsid w:val="00BA3358"/>
    <w:rsid w:val="00BE737E"/>
    <w:rsid w:val="00BF7750"/>
    <w:rsid w:val="00C7555D"/>
    <w:rsid w:val="00CD4420"/>
    <w:rsid w:val="00D357AB"/>
    <w:rsid w:val="00D803FA"/>
    <w:rsid w:val="00D873D6"/>
    <w:rsid w:val="00E563F5"/>
    <w:rsid w:val="00F85279"/>
    <w:rsid w:val="00F87127"/>
    <w:rsid w:val="00FD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78B72-B11B-43D9-B398-9A661701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4EC77-086A-4BA6-BF47-7FC87E10C2F2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2BFD87CF-DCEF-4F1A-843E-D1F5BB23B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237C6-65FF-4D9E-82B5-D40E6867E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Account Microsoft</cp:lastModifiedBy>
  <cp:revision>23</cp:revision>
  <cp:lastPrinted>2022-06-06T17:07:00Z</cp:lastPrinted>
  <dcterms:created xsi:type="dcterms:W3CDTF">2021-06-09T16:04:00Z</dcterms:created>
  <dcterms:modified xsi:type="dcterms:W3CDTF">2025-09-04T17:19:00Z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